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3441" w14:textId="77777777" w:rsidR="003A704D" w:rsidRPr="0060288F" w:rsidRDefault="003A704D" w:rsidP="0033162D">
      <w:pPr>
        <w:rPr>
          <w:iCs/>
          <w:smallCaps/>
          <w:sz w:val="28"/>
          <w:szCs w:val="28"/>
        </w:rPr>
      </w:pPr>
    </w:p>
    <w:p w14:paraId="2EA4A435" w14:textId="310AFEBE" w:rsidR="003D2C9D" w:rsidRPr="003A704D" w:rsidRDefault="007D62B4" w:rsidP="0033162D">
      <w:pPr>
        <w:rPr>
          <w:b/>
          <w:bCs/>
          <w:iCs/>
          <w:smallCaps/>
          <w:sz w:val="28"/>
          <w:szCs w:val="28"/>
        </w:rPr>
      </w:pPr>
      <w:r>
        <w:rPr>
          <w:b/>
          <w:bCs/>
          <w:iCs/>
          <w:smallCaps/>
          <w:sz w:val="28"/>
          <w:szCs w:val="28"/>
        </w:rPr>
        <w:t>3.1.1.</w:t>
      </w:r>
      <w:r w:rsidR="00576F6B">
        <w:rPr>
          <w:b/>
          <w:bCs/>
          <w:iCs/>
          <w:smallCaps/>
          <w:sz w:val="28"/>
          <w:szCs w:val="28"/>
        </w:rPr>
        <w:t>2</w:t>
      </w:r>
      <w:r>
        <w:rPr>
          <w:b/>
          <w:bCs/>
          <w:iCs/>
          <w:smallCaps/>
          <w:sz w:val="28"/>
          <w:szCs w:val="28"/>
        </w:rPr>
        <w:t xml:space="preserve"> </w:t>
      </w:r>
      <w:r w:rsidRPr="007D62B4">
        <w:rPr>
          <w:b/>
          <w:bCs/>
          <w:iCs/>
          <w:smallCaps/>
          <w:sz w:val="28"/>
          <w:szCs w:val="28"/>
          <w:u w:val="single"/>
        </w:rPr>
        <w:t xml:space="preserve">Risk </w:t>
      </w:r>
      <w:r w:rsidR="00576F6B">
        <w:rPr>
          <w:b/>
          <w:bCs/>
          <w:iCs/>
          <w:smallCaps/>
          <w:sz w:val="28"/>
          <w:szCs w:val="28"/>
          <w:u w:val="single"/>
        </w:rPr>
        <w:t xml:space="preserve">Assessment </w:t>
      </w:r>
      <w:r w:rsidR="003D2C9D" w:rsidRPr="007D62B4">
        <w:rPr>
          <w:b/>
          <w:bCs/>
          <w:iCs/>
          <w:smallCaps/>
          <w:sz w:val="28"/>
          <w:szCs w:val="28"/>
          <w:u w:val="single"/>
        </w:rPr>
        <w:t>Template</w:t>
      </w:r>
    </w:p>
    <w:p w14:paraId="4A0B78E8" w14:textId="4E145D68" w:rsidR="0060288F" w:rsidRDefault="008C677A" w:rsidP="0033162D">
      <w:pPr>
        <w:rPr>
          <w:b/>
          <w:iCs/>
          <w:sz w:val="24"/>
          <w:szCs w:val="24"/>
        </w:rPr>
      </w:pPr>
      <w:r w:rsidRPr="008C677A">
        <w:rPr>
          <w:b/>
          <w:iCs/>
          <w:sz w:val="24"/>
          <w:szCs w:val="24"/>
        </w:rPr>
        <w:t>Overview</w:t>
      </w:r>
    </w:p>
    <w:p w14:paraId="3AF779CE" w14:textId="2E055EAA" w:rsidR="00576F6B" w:rsidRDefault="00576F6B" w:rsidP="00576F6B">
      <w:r>
        <w:t xml:space="preserve">Risk assessment primarily concerns assessing and prioritizing risks identified from 3.1.1.1. </w:t>
      </w:r>
      <w:r w:rsidR="00A017A4">
        <w:t xml:space="preserve">Risk assessment and prioritization can be done using the probability-impact risk assessment matrix. As the name suggests the two factors used to assess </w:t>
      </w:r>
      <w:r w:rsidR="00DF261B">
        <w:t xml:space="preserve">all risks </w:t>
      </w:r>
      <w:r w:rsidR="00FB4982">
        <w:t xml:space="preserve">are </w:t>
      </w:r>
      <w:r w:rsidR="00DF261B">
        <w:t xml:space="preserve">(i) probability of its occurrence and (ii) impact should it occur on the organization and/or the project. </w:t>
      </w:r>
    </w:p>
    <w:p w14:paraId="30A57176" w14:textId="539CCA19" w:rsidR="00576F6B" w:rsidRDefault="00207CC4" w:rsidP="00576F6B">
      <w:r>
        <w:t xml:space="preserve">Given below is the </w:t>
      </w:r>
      <w:r w:rsidRPr="00207CC4">
        <w:t>probability impact matrix (PIM)</w:t>
      </w:r>
      <w:r w:rsidR="006451FD">
        <w:t xml:space="preserve"> or the Risk matrix.</w:t>
      </w:r>
      <w:r>
        <w:t xml:space="preserve"> </w:t>
      </w:r>
    </w:p>
    <w:p w14:paraId="5F138163" w14:textId="42C6DE22" w:rsidR="00FB4982" w:rsidRDefault="006451FD" w:rsidP="00576F6B">
      <w:r>
        <w:rPr>
          <w:noProof/>
          <w14:ligatures w14:val="standardContextual"/>
        </w:rPr>
        <w:drawing>
          <wp:inline distT="0" distB="0" distL="0" distR="0" wp14:anchorId="62448EE6" wp14:editId="744AD3D0">
            <wp:extent cx="5731510" cy="3425190"/>
            <wp:effectExtent l="0" t="0" r="2540" b="3810"/>
            <wp:docPr id="343437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3723" name="Picture 343437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1CCD2" w14:textId="7B86568F" w:rsidR="00FB4982" w:rsidRDefault="00207CC4" w:rsidP="00576F6B">
      <w:r w:rsidRPr="00207CC4">
        <w:t xml:space="preserve">Kassem, M. A., Khoiry, M. A., &amp; Hamzah, N. (2020). Using probability impact matrix (PIM) in analyzing risk factors affecting the success of oil and gas construction projects in Yemen. </w:t>
      </w:r>
      <w:r w:rsidRPr="00207CC4">
        <w:rPr>
          <w:i/>
          <w:iCs/>
        </w:rPr>
        <w:t>International Journal of Energy Sector Management, 14</w:t>
      </w:r>
      <w:r w:rsidRPr="00207CC4">
        <w:t>(3), 527–546. https://doi.org/10.1108/IJESM-03-2019-0011</w:t>
      </w:r>
    </w:p>
    <w:p w14:paraId="4DB6AD4D" w14:textId="220340C6" w:rsidR="00FB4982" w:rsidRDefault="00DB446C" w:rsidP="00576F6B">
      <w:r>
        <w:t xml:space="preserve">All identified risks should be placed in one of the cells above in the </w:t>
      </w:r>
      <w:r w:rsidRPr="00207CC4">
        <w:t>probability impact matrix (PIM)</w:t>
      </w:r>
      <w:r>
        <w:t xml:space="preserve">. Those risks occupying the red cells should be given priority as they are high impact, high probability risks. </w:t>
      </w:r>
    </w:p>
    <w:p w14:paraId="07B29FCC" w14:textId="77777777" w:rsidR="00FB4982" w:rsidRDefault="00FB4982" w:rsidP="00576F6B"/>
    <w:p w14:paraId="218BA065" w14:textId="074000C4" w:rsidR="00576F6B" w:rsidRDefault="00A017A4" w:rsidP="00576F6B">
      <w:r w:rsidRPr="00A017A4">
        <w:t xml:space="preserve">Project Management Institute. (2021). </w:t>
      </w:r>
      <w:r w:rsidRPr="00A017A4">
        <w:rPr>
          <w:i/>
          <w:iCs/>
        </w:rPr>
        <w:t>A guide to the project management body of knowledge (PMBOK® Guide)</w:t>
      </w:r>
      <w:r w:rsidRPr="00A017A4">
        <w:t xml:space="preserve"> (7th ed.). Project Management Institute.</w:t>
      </w:r>
    </w:p>
    <w:p w14:paraId="6518BA3C" w14:textId="77777777" w:rsidR="00576F6B" w:rsidRDefault="00576F6B" w:rsidP="00576F6B"/>
    <w:p w14:paraId="1ADF3FAE" w14:textId="77777777" w:rsidR="00576F6B" w:rsidRDefault="00576F6B" w:rsidP="00576F6B"/>
    <w:p w14:paraId="24E86810" w14:textId="77777777" w:rsidR="00576F6B" w:rsidRPr="008C677A" w:rsidRDefault="00576F6B" w:rsidP="00576F6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015"/>
      </w:tblGrid>
      <w:tr w:rsidR="00683E66" w:rsidRPr="008646CF" w14:paraId="023CC3EE" w14:textId="77777777" w:rsidTr="00E219DF">
        <w:tc>
          <w:tcPr>
            <w:tcW w:w="1011" w:type="dxa"/>
          </w:tcPr>
          <w:p w14:paraId="6E4D8AD6" w14:textId="77777777" w:rsidR="00683E66" w:rsidRPr="00B87D03" w:rsidRDefault="00683E66" w:rsidP="00E21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D0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70352772" wp14:editId="42374424">
                  <wp:extent cx="504884" cy="504884"/>
                  <wp:effectExtent l="0" t="0" r="0" b="0"/>
                  <wp:docPr id="1646460113" name="Picture 1646460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540" cy="51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5" w:type="dxa"/>
          </w:tcPr>
          <w:p w14:paraId="2FD415AD" w14:textId="77777777" w:rsidR="00683E66" w:rsidRPr="00E00755" w:rsidRDefault="00683E66" w:rsidP="00E219DF">
            <w:pPr>
              <w:rPr>
                <w:rFonts w:ascii="Times New Roman" w:hAnsi="Times New Roman" w:cs="Times New Roman"/>
                <w:b/>
                <w:bCs/>
                <w:color w:val="2C88D4"/>
                <w:sz w:val="24"/>
                <w:szCs w:val="24"/>
              </w:rPr>
            </w:pPr>
            <w:r w:rsidRPr="00E00755">
              <w:rPr>
                <w:rFonts w:ascii="Times New Roman" w:hAnsi="Times New Roman" w:cs="Times New Roman"/>
                <w:b/>
                <w:bCs/>
                <w:color w:val="2C88D4"/>
                <w:sz w:val="24"/>
                <w:szCs w:val="24"/>
              </w:rPr>
              <w:t>Take Note</w:t>
            </w:r>
          </w:p>
          <w:p w14:paraId="486B3F19" w14:textId="77777777" w:rsidR="00E24DB6" w:rsidRPr="009924ED" w:rsidRDefault="00E24DB6" w:rsidP="009924ED">
            <w:pPr>
              <w:rPr>
                <w:rFonts w:ascii="Times New Roman" w:hAnsi="Times New Roman" w:cs="Times New Roman"/>
                <w:color w:val="2C88D4"/>
                <w:sz w:val="24"/>
                <w:szCs w:val="24"/>
              </w:rPr>
            </w:pPr>
          </w:p>
          <w:p w14:paraId="765050E8" w14:textId="33BD82E1" w:rsidR="00E24DB6" w:rsidRPr="00E00755" w:rsidRDefault="00E24DB6" w:rsidP="009924ED">
            <w:pPr>
              <w:rPr>
                <w:rFonts w:ascii="Times New Roman" w:hAnsi="Times New Roman" w:cs="Times New Roman"/>
                <w:i/>
                <w:iCs/>
                <w:color w:val="2C88D4"/>
                <w:sz w:val="24"/>
                <w:szCs w:val="24"/>
              </w:rPr>
            </w:pPr>
          </w:p>
        </w:tc>
      </w:tr>
    </w:tbl>
    <w:p w14:paraId="2835A3E0" w14:textId="77777777" w:rsidR="009924ED" w:rsidRDefault="009924ED" w:rsidP="0033162D">
      <w:pPr>
        <w:rPr>
          <w:bCs/>
          <w:iCs/>
          <w:sz w:val="24"/>
          <w:szCs w:val="24"/>
        </w:rPr>
      </w:pPr>
    </w:p>
    <w:p w14:paraId="73CA1E42" w14:textId="0EE2A737" w:rsidR="00064857" w:rsidRPr="0062094D" w:rsidRDefault="008A767A" w:rsidP="0033162D">
      <w:pPr>
        <w:rPr>
          <w:b/>
          <w:iCs/>
          <w:sz w:val="24"/>
          <w:szCs w:val="24"/>
        </w:rPr>
      </w:pPr>
      <w:r w:rsidRPr="0062094D">
        <w:rPr>
          <w:b/>
          <w:iCs/>
          <w:sz w:val="24"/>
          <w:szCs w:val="24"/>
        </w:rPr>
        <w:t>Example: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767A" w14:paraId="6FAC9277" w14:textId="77777777" w:rsidTr="008A767A">
        <w:tc>
          <w:tcPr>
            <w:tcW w:w="9016" w:type="dxa"/>
          </w:tcPr>
          <w:p w14:paraId="0C7A1C09" w14:textId="5A49E014" w:rsidR="008A767A" w:rsidRDefault="008A767A" w:rsidP="0033162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From the previous example [Template 3.1.1.1] we have identified the following set of risks for work package </w:t>
            </w:r>
            <w:r w:rsidRPr="00A6244D">
              <w:rPr>
                <w:bCs/>
                <w:i/>
                <w:sz w:val="24"/>
                <w:szCs w:val="24"/>
              </w:rPr>
              <w:t>1.1.1</w:t>
            </w:r>
            <w:r>
              <w:rPr>
                <w:bCs/>
                <w:i/>
                <w:sz w:val="24"/>
                <w:szCs w:val="24"/>
              </w:rPr>
              <w:t xml:space="preserve"> Conduct stakeholder review, </w:t>
            </w:r>
            <w:r w:rsidRPr="00527A2C">
              <w:rPr>
                <w:b/>
                <w:i/>
                <w:color w:val="4472C4" w:themeColor="accent1"/>
                <w:sz w:val="24"/>
                <w:szCs w:val="24"/>
              </w:rPr>
              <w:t>SC1:</w:t>
            </w:r>
            <w:r w:rsidRPr="00527A2C">
              <w:rPr>
                <w:b/>
                <w:color w:val="4472C4" w:themeColor="accent1"/>
              </w:rPr>
              <w:t xml:space="preserve"> </w:t>
            </w:r>
            <w:r w:rsidRPr="00527A2C">
              <w:rPr>
                <w:b/>
                <w:i/>
                <w:color w:val="4472C4" w:themeColor="accent1"/>
                <w:sz w:val="24"/>
                <w:szCs w:val="24"/>
              </w:rPr>
              <w:t>Stakeholders are available.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0EF285B3" w14:textId="53710261" w:rsidR="008A767A" w:rsidRDefault="009F23E8" w:rsidP="0033162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We also categorized risks as either low | medium |high based on three question assessment. The final summary of the risks are listed below. Only those risks categorized as Medium or High have been listed below in the table.</w:t>
            </w:r>
          </w:p>
          <w:p w14:paraId="5A03E125" w14:textId="77777777" w:rsidR="008A767A" w:rsidRDefault="008A767A" w:rsidP="0033162D">
            <w:pPr>
              <w:rPr>
                <w:bCs/>
                <w:iCs/>
                <w:sz w:val="24"/>
                <w:szCs w:val="24"/>
              </w:rPr>
            </w:pPr>
          </w:p>
          <w:tbl>
            <w:tblPr>
              <w:tblW w:w="8131" w:type="dxa"/>
              <w:tblLook w:val="04A0" w:firstRow="1" w:lastRow="0" w:firstColumn="1" w:lastColumn="0" w:noHBand="0" w:noVBand="1"/>
            </w:tblPr>
            <w:tblGrid>
              <w:gridCol w:w="1051"/>
              <w:gridCol w:w="5460"/>
              <w:gridCol w:w="1620"/>
            </w:tblGrid>
            <w:tr w:rsidR="008A767A" w:rsidRPr="008A767A" w14:paraId="283ACF78" w14:textId="77777777" w:rsidTr="009F23E8">
              <w:trPr>
                <w:trHeight w:val="315"/>
              </w:trPr>
              <w:tc>
                <w:tcPr>
                  <w:tcW w:w="105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B77A37C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  <w:t>Question</w:t>
                  </w:r>
                </w:p>
              </w:tc>
              <w:tc>
                <w:tcPr>
                  <w:tcW w:w="54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7C79121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  <w:t>Assumption</w:t>
                  </w:r>
                </w:p>
              </w:tc>
              <w:tc>
                <w:tcPr>
                  <w:tcW w:w="16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E178AF6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ja-JP"/>
                    </w:rPr>
                    <w:t>Risk Level</w:t>
                  </w:r>
                </w:p>
              </w:tc>
            </w:tr>
            <w:tr w:rsidR="008A767A" w:rsidRPr="008A767A" w14:paraId="013977F3" w14:textId="77777777" w:rsidTr="009F23E8">
              <w:trPr>
                <w:trHeight w:val="6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335E8BC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Q1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62E72B3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Stakeholders see sufficient value or obligation to participate in the review.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EF32759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  <w:tr w:rsidR="008A767A" w:rsidRPr="008A767A" w14:paraId="459F0BC7" w14:textId="77777777" w:rsidTr="009F23E8">
              <w:trPr>
                <w:trHeight w:val="6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4BB4713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Q1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FA2544E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Stakeholders know that a interview is scheduled, its purpose, date, format and expectations.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18926B7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  <w:tr w:rsidR="008A767A" w:rsidRPr="008A767A" w14:paraId="68010714" w14:textId="77777777" w:rsidTr="009F23E8">
              <w:trPr>
                <w:trHeight w:val="6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193AE35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Q1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98EE3B9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A common time can be agreed upon, particularly where multiple stakeholders are involved.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9C2FA17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High</w:t>
                  </w:r>
                </w:p>
              </w:tc>
            </w:tr>
            <w:tr w:rsidR="008A767A" w:rsidRPr="008A767A" w14:paraId="57AD5550" w14:textId="77777777" w:rsidTr="009F23E8">
              <w:trPr>
                <w:trHeight w:val="6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A796DBD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Q1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F7390D2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Participation is not merely confirmed; stakeholders remain engaged for the required duration.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F87CC17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  <w:tr w:rsidR="008A767A" w:rsidRPr="008A767A" w14:paraId="42BE7C88" w14:textId="77777777" w:rsidTr="009F23E8">
              <w:trPr>
                <w:trHeight w:val="6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FAEB86D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Q2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CE609AF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Stakeholder sees no value, has competing priorities, or is dissatisfied with the project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0E617C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  <w:tr w:rsidR="008A767A" w:rsidRPr="008A767A" w14:paraId="14028F12" w14:textId="77777777" w:rsidTr="009F23E8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0BC46E0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Q2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1F7BBD7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Stakeholders have incompatible schedules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7EE1759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  <w:tr w:rsidR="008A767A" w:rsidRPr="008A767A" w14:paraId="709260CE" w14:textId="77777777" w:rsidTr="009F23E8">
              <w:trPr>
                <w:trHeight w:val="315"/>
              </w:trPr>
              <w:tc>
                <w:tcPr>
                  <w:tcW w:w="105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13761EE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Q3</w:t>
                  </w:r>
                </w:p>
              </w:tc>
              <w:tc>
                <w:tcPr>
                  <w:tcW w:w="54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4B4D0BD" w14:textId="77777777" w:rsidR="008A767A" w:rsidRPr="008A767A" w:rsidRDefault="008A767A" w:rsidP="008A767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R9_Backup stakeholder/authorized representative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7B89E01" w14:textId="77777777" w:rsidR="008A767A" w:rsidRPr="008A767A" w:rsidRDefault="008A767A" w:rsidP="008A767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</w:pPr>
                  <w:r w:rsidRPr="008A767A">
                    <w:rPr>
                      <w:rFonts w:ascii="Calibri" w:eastAsia="Times New Roman" w:hAnsi="Calibri" w:cs="Calibri"/>
                      <w:color w:val="000000"/>
                      <w:lang w:eastAsia="ja-JP"/>
                    </w:rPr>
                    <w:t>Medium</w:t>
                  </w:r>
                </w:p>
              </w:tc>
            </w:tr>
          </w:tbl>
          <w:p w14:paraId="5EB6E51B" w14:textId="77777777" w:rsidR="008A767A" w:rsidRDefault="008A767A" w:rsidP="0033162D">
            <w:pPr>
              <w:rPr>
                <w:bCs/>
                <w:iCs/>
                <w:sz w:val="24"/>
                <w:szCs w:val="24"/>
              </w:rPr>
            </w:pPr>
          </w:p>
          <w:p w14:paraId="3C24E0A3" w14:textId="5068919C" w:rsidR="0062094D" w:rsidRDefault="0062094D" w:rsidP="0033162D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The next step involves placing them on the probability impact grid:</w:t>
            </w:r>
          </w:p>
          <w:p w14:paraId="75A0C52D" w14:textId="77777777" w:rsidR="0062094D" w:rsidRDefault="0062094D" w:rsidP="0033162D">
            <w:pPr>
              <w:rPr>
                <w:bCs/>
                <w:iCs/>
                <w:sz w:val="24"/>
                <w:szCs w:val="24"/>
              </w:rPr>
            </w:pPr>
          </w:p>
          <w:p w14:paraId="1229F941" w14:textId="77777777" w:rsidR="0062094D" w:rsidRDefault="0062094D" w:rsidP="0033162D">
            <w:pPr>
              <w:rPr>
                <w:bCs/>
                <w:iCs/>
                <w:sz w:val="24"/>
                <w:szCs w:val="24"/>
              </w:rPr>
            </w:pPr>
          </w:p>
          <w:p w14:paraId="5EE41954" w14:textId="77777777" w:rsidR="008A767A" w:rsidRDefault="008A767A" w:rsidP="0033162D">
            <w:pPr>
              <w:rPr>
                <w:bCs/>
                <w:iCs/>
                <w:sz w:val="24"/>
                <w:szCs w:val="24"/>
              </w:rPr>
            </w:pPr>
          </w:p>
        </w:tc>
      </w:tr>
    </w:tbl>
    <w:p w14:paraId="6EBC09D7" w14:textId="77777777" w:rsidR="008A767A" w:rsidRDefault="008A767A" w:rsidP="0033162D">
      <w:pPr>
        <w:rPr>
          <w:bCs/>
          <w:iCs/>
          <w:sz w:val="24"/>
          <w:szCs w:val="24"/>
        </w:rPr>
      </w:pPr>
    </w:p>
    <w:p w14:paraId="16D13F92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7EC0BCC5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5C15D459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702FCD31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4987435B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748B0B20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6E38E4FD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31C41649" w14:textId="77777777" w:rsidR="0062094D" w:rsidRDefault="0062094D" w:rsidP="0033162D">
      <w:pPr>
        <w:rPr>
          <w:bCs/>
          <w:iCs/>
          <w:sz w:val="24"/>
          <w:szCs w:val="24"/>
        </w:rPr>
      </w:pPr>
    </w:p>
    <w:p w14:paraId="15CD977F" w14:textId="77777777" w:rsidR="00064857" w:rsidRDefault="00064857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sectPr w:rsidR="0006485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6ED2E" w14:textId="77777777" w:rsidR="0033162D" w:rsidRDefault="0033162D" w:rsidP="0033162D">
      <w:pPr>
        <w:spacing w:after="0" w:line="240" w:lineRule="auto"/>
      </w:pPr>
      <w:r>
        <w:separator/>
      </w:r>
    </w:p>
  </w:endnote>
  <w:endnote w:type="continuationSeparator" w:id="0">
    <w:p w14:paraId="50640831" w14:textId="77777777" w:rsidR="0033162D" w:rsidRDefault="0033162D" w:rsidP="00331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0"/>
        <w:szCs w:val="20"/>
      </w:rPr>
      <w:id w:val="-1769616900"/>
      <w:docPartObj>
        <w:docPartGallery w:val="Page Numbers (Top of Page)"/>
        <w:docPartUnique/>
      </w:docPartObj>
    </w:sdtPr>
    <w:sdtEndPr/>
    <w:sdtContent>
      <w:p w14:paraId="69E0F1B8" w14:textId="77777777" w:rsidR="0033162D" w:rsidRDefault="0033162D" w:rsidP="0033162D">
        <w:pPr>
          <w:pStyle w:val="Footer"/>
          <w:rPr>
            <w:b/>
            <w:bCs/>
            <w:sz w:val="20"/>
            <w:szCs w:val="20"/>
          </w:rPr>
        </w:pPr>
        <w:r>
          <w:rPr>
            <w:b/>
            <w:bCs/>
            <w:noProof/>
            <w:sz w:val="20"/>
            <w:szCs w:val="20"/>
          </w:rPr>
          <w:drawing>
            <wp:inline distT="0" distB="0" distL="0" distR="0" wp14:anchorId="7EE39827" wp14:editId="7C510461">
              <wp:extent cx="5731510" cy="122555"/>
              <wp:effectExtent l="0" t="0" r="2540" b="0"/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122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5A610E8" w14:textId="77777777" w:rsidR="0033162D" w:rsidRDefault="0033162D" w:rsidP="0033162D">
        <w:pPr>
          <w:pStyle w:val="Footer"/>
          <w:jc w:val="right"/>
          <w:rPr>
            <w:b/>
            <w:bCs/>
            <w:sz w:val="20"/>
            <w:szCs w:val="20"/>
          </w:rPr>
        </w:pPr>
        <w:r w:rsidRPr="006C07C7">
          <w:rPr>
            <w:b/>
            <w:bCs/>
            <w:sz w:val="20"/>
            <w:szCs w:val="20"/>
          </w:rPr>
          <w:t xml:space="preserve">Page </w:t>
        </w:r>
        <w:r w:rsidRPr="006C07C7">
          <w:rPr>
            <w:b/>
            <w:bCs/>
            <w:sz w:val="20"/>
            <w:szCs w:val="20"/>
          </w:rPr>
          <w:fldChar w:fldCharType="begin"/>
        </w:r>
        <w:r w:rsidRPr="006C07C7">
          <w:rPr>
            <w:b/>
            <w:bCs/>
            <w:sz w:val="20"/>
            <w:szCs w:val="20"/>
          </w:rPr>
          <w:instrText xml:space="preserve"> PAGE </w:instrText>
        </w:r>
        <w:r w:rsidRPr="006C07C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 w:rsidRPr="006C07C7">
          <w:rPr>
            <w:b/>
            <w:bCs/>
            <w:sz w:val="20"/>
            <w:szCs w:val="20"/>
          </w:rPr>
          <w:fldChar w:fldCharType="end"/>
        </w:r>
        <w:r w:rsidRPr="006C07C7">
          <w:rPr>
            <w:b/>
            <w:bCs/>
            <w:sz w:val="20"/>
            <w:szCs w:val="20"/>
          </w:rPr>
          <w:t xml:space="preserve"> of </w:t>
        </w:r>
        <w:r w:rsidRPr="006C07C7">
          <w:rPr>
            <w:b/>
            <w:bCs/>
            <w:sz w:val="20"/>
            <w:szCs w:val="20"/>
          </w:rPr>
          <w:fldChar w:fldCharType="begin"/>
        </w:r>
        <w:r w:rsidRPr="006C07C7">
          <w:rPr>
            <w:b/>
            <w:bCs/>
            <w:sz w:val="20"/>
            <w:szCs w:val="20"/>
          </w:rPr>
          <w:instrText xml:space="preserve"> NUMPAGES  </w:instrText>
        </w:r>
        <w:r w:rsidRPr="006C07C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38</w:t>
        </w:r>
        <w:r w:rsidRPr="006C07C7">
          <w:rPr>
            <w:b/>
            <w:bCs/>
            <w:sz w:val="20"/>
            <w:szCs w:val="20"/>
          </w:rPr>
          <w:fldChar w:fldCharType="end"/>
        </w:r>
      </w:p>
    </w:sdtContent>
  </w:sdt>
  <w:p w14:paraId="1C4CEC14" w14:textId="77777777" w:rsidR="0033162D" w:rsidRDefault="00331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72D1" w14:textId="77777777" w:rsidR="0033162D" w:rsidRDefault="0033162D" w:rsidP="0033162D">
      <w:pPr>
        <w:spacing w:after="0" w:line="240" w:lineRule="auto"/>
      </w:pPr>
      <w:r>
        <w:separator/>
      </w:r>
    </w:p>
  </w:footnote>
  <w:footnote w:type="continuationSeparator" w:id="0">
    <w:p w14:paraId="74512F3A" w14:textId="77777777" w:rsidR="0033162D" w:rsidRDefault="0033162D" w:rsidP="00331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A6AA" w14:textId="77777777" w:rsidR="0033162D" w:rsidRDefault="0033162D" w:rsidP="0033162D">
    <w:pPr>
      <w:pStyle w:val="Header"/>
      <w:pBdr>
        <w:bottom w:val="single" w:sz="12" w:space="1" w:color="auto"/>
      </w:pBdr>
      <w:rPr>
        <w:b/>
        <w:bCs/>
        <w:smallCaps/>
        <w:spacing w:val="30"/>
      </w:rPr>
    </w:pPr>
    <w:r w:rsidRPr="006C07C7">
      <w:rPr>
        <w:b/>
        <w:bCs/>
        <w:smallCaps/>
        <w:noProof/>
        <w:spacing w:val="30"/>
      </w:rPr>
      <w:drawing>
        <wp:inline distT="0" distB="0" distL="0" distR="0" wp14:anchorId="5F2A9E73" wp14:editId="010D81B1">
          <wp:extent cx="354842" cy="354842"/>
          <wp:effectExtent l="0" t="0" r="762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541" cy="3635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C07C7">
      <w:rPr>
        <w:b/>
        <w:bCs/>
        <w:smallCaps/>
        <w:spacing w:val="30"/>
      </w:rPr>
      <w:t xml:space="preserve">  ISO 26000 Projec</w:t>
    </w:r>
    <w:r>
      <w:rPr>
        <w:b/>
        <w:bCs/>
        <w:smallCaps/>
        <w:spacing w:val="30"/>
      </w:rPr>
      <w:t>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A1308"/>
    <w:multiLevelType w:val="hybridMultilevel"/>
    <w:tmpl w:val="B598138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35CF7"/>
    <w:multiLevelType w:val="hybridMultilevel"/>
    <w:tmpl w:val="29DE6CF8"/>
    <w:lvl w:ilvl="0" w:tplc="B466258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2410828">
    <w:abstractNumId w:val="1"/>
  </w:num>
  <w:num w:numId="2" w16cid:durableId="137392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D5"/>
    <w:rsid w:val="000456C0"/>
    <w:rsid w:val="00064857"/>
    <w:rsid w:val="00112659"/>
    <w:rsid w:val="00136D16"/>
    <w:rsid w:val="0014729D"/>
    <w:rsid w:val="00165D71"/>
    <w:rsid w:val="001A4B77"/>
    <w:rsid w:val="00207CC4"/>
    <w:rsid w:val="00252116"/>
    <w:rsid w:val="00262B2F"/>
    <w:rsid w:val="00281581"/>
    <w:rsid w:val="002A2B29"/>
    <w:rsid w:val="002B7576"/>
    <w:rsid w:val="00302E31"/>
    <w:rsid w:val="0033162D"/>
    <w:rsid w:val="003A704D"/>
    <w:rsid w:val="003D2C9D"/>
    <w:rsid w:val="004879D5"/>
    <w:rsid w:val="00527A2C"/>
    <w:rsid w:val="00570652"/>
    <w:rsid w:val="00576F6B"/>
    <w:rsid w:val="005A02B5"/>
    <w:rsid w:val="00600725"/>
    <w:rsid w:val="0060288F"/>
    <w:rsid w:val="0062094D"/>
    <w:rsid w:val="006451FD"/>
    <w:rsid w:val="00683E66"/>
    <w:rsid w:val="006A4E33"/>
    <w:rsid w:val="007B6E86"/>
    <w:rsid w:val="007C3079"/>
    <w:rsid w:val="007D62B4"/>
    <w:rsid w:val="00860BF9"/>
    <w:rsid w:val="008A767A"/>
    <w:rsid w:val="008C677A"/>
    <w:rsid w:val="009924ED"/>
    <w:rsid w:val="00995EF4"/>
    <w:rsid w:val="009C4F48"/>
    <w:rsid w:val="009E0249"/>
    <w:rsid w:val="009E6AE6"/>
    <w:rsid w:val="009F23E8"/>
    <w:rsid w:val="00A017A4"/>
    <w:rsid w:val="00A6244D"/>
    <w:rsid w:val="00A76245"/>
    <w:rsid w:val="00AD6193"/>
    <w:rsid w:val="00BC228F"/>
    <w:rsid w:val="00C02E15"/>
    <w:rsid w:val="00C0771B"/>
    <w:rsid w:val="00C8389A"/>
    <w:rsid w:val="00CD1EE3"/>
    <w:rsid w:val="00D2626C"/>
    <w:rsid w:val="00D37AFE"/>
    <w:rsid w:val="00D723CE"/>
    <w:rsid w:val="00DB0328"/>
    <w:rsid w:val="00DB446C"/>
    <w:rsid w:val="00DF261B"/>
    <w:rsid w:val="00E24DB6"/>
    <w:rsid w:val="00E761ED"/>
    <w:rsid w:val="00EF3810"/>
    <w:rsid w:val="00F23203"/>
    <w:rsid w:val="00F34B6B"/>
    <w:rsid w:val="00FB4982"/>
    <w:rsid w:val="00FB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571E"/>
  <w15:chartTrackingRefBased/>
  <w15:docId w15:val="{9E7DC14C-D7A6-42C5-AD7C-FC15E4E56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1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62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31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62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31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62D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F34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Wangchuk Chungyalpa</dc:creator>
  <cp:keywords/>
  <dc:description/>
  <cp:lastModifiedBy>Wangchuk Chungyalpa</cp:lastModifiedBy>
  <cp:revision>9</cp:revision>
  <dcterms:created xsi:type="dcterms:W3CDTF">2026-09-13T13:23:00Z</dcterms:created>
  <dcterms:modified xsi:type="dcterms:W3CDTF">2026-09-20T07:28:00Z</dcterms:modified>
</cp:coreProperties>
</file>